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DA0" w:rsidRPr="00D82522" w:rsidRDefault="00F72DA0" w:rsidP="00D82522">
      <w:pPr>
        <w:spacing w:line="480" w:lineRule="auto"/>
        <w:jc w:val="center"/>
        <w:rPr>
          <w:rFonts w:ascii="Times New Roman" w:hAnsi="Times New Roman" w:cs="Times New Roman"/>
          <w:sz w:val="24"/>
          <w:szCs w:val="24"/>
        </w:rPr>
      </w:pPr>
      <w:bookmarkStart w:id="0" w:name="_GoBack"/>
      <w:bookmarkEnd w:id="0"/>
    </w:p>
    <w:p w:rsidR="00F72DA0" w:rsidRPr="00D82522" w:rsidRDefault="00F72DA0" w:rsidP="00D82522">
      <w:pPr>
        <w:spacing w:line="480" w:lineRule="auto"/>
        <w:jc w:val="center"/>
        <w:rPr>
          <w:rFonts w:ascii="Times New Roman" w:hAnsi="Times New Roman" w:cs="Times New Roman"/>
          <w:sz w:val="24"/>
          <w:szCs w:val="24"/>
        </w:rPr>
      </w:pPr>
    </w:p>
    <w:p w:rsidR="00F72DA0" w:rsidRDefault="00F72DA0" w:rsidP="00D82522">
      <w:pPr>
        <w:spacing w:line="480" w:lineRule="auto"/>
        <w:jc w:val="center"/>
        <w:rPr>
          <w:rFonts w:ascii="Times New Roman" w:hAnsi="Times New Roman" w:cs="Times New Roman"/>
          <w:sz w:val="24"/>
          <w:szCs w:val="24"/>
        </w:rPr>
      </w:pPr>
    </w:p>
    <w:p w:rsidR="00807CC3" w:rsidRPr="00D82522" w:rsidRDefault="00807CC3" w:rsidP="00D82522">
      <w:pPr>
        <w:spacing w:line="480" w:lineRule="auto"/>
        <w:jc w:val="center"/>
        <w:rPr>
          <w:rFonts w:ascii="Times New Roman" w:hAnsi="Times New Roman" w:cs="Times New Roman"/>
          <w:sz w:val="24"/>
          <w:szCs w:val="24"/>
        </w:rPr>
      </w:pPr>
    </w:p>
    <w:p w:rsidR="00F72DA0" w:rsidRPr="00D82522" w:rsidRDefault="00F72DA0" w:rsidP="00D82522">
      <w:pPr>
        <w:spacing w:line="480" w:lineRule="auto"/>
        <w:jc w:val="center"/>
        <w:rPr>
          <w:rFonts w:ascii="Times New Roman" w:hAnsi="Times New Roman" w:cs="Times New Roman"/>
          <w:sz w:val="24"/>
          <w:szCs w:val="24"/>
        </w:rPr>
      </w:pPr>
    </w:p>
    <w:p w:rsidR="00F72DA0" w:rsidRPr="00D82522" w:rsidRDefault="00F72DA0" w:rsidP="00D82522">
      <w:pPr>
        <w:spacing w:line="480" w:lineRule="auto"/>
        <w:jc w:val="center"/>
        <w:rPr>
          <w:rFonts w:ascii="Times New Roman" w:hAnsi="Times New Roman" w:cs="Times New Roman"/>
          <w:sz w:val="24"/>
          <w:szCs w:val="24"/>
        </w:rPr>
      </w:pPr>
    </w:p>
    <w:p w:rsidR="00F72DA0" w:rsidRPr="00D82522" w:rsidRDefault="00F72DA0" w:rsidP="00D82522">
      <w:pPr>
        <w:spacing w:line="480" w:lineRule="auto"/>
        <w:jc w:val="center"/>
        <w:rPr>
          <w:rFonts w:ascii="Times New Roman" w:hAnsi="Times New Roman" w:cs="Times New Roman"/>
          <w:sz w:val="24"/>
          <w:szCs w:val="24"/>
        </w:rPr>
      </w:pPr>
    </w:p>
    <w:p w:rsidR="00F72DA0" w:rsidRPr="00D82522" w:rsidRDefault="00F72DA0" w:rsidP="00D82522">
      <w:pPr>
        <w:spacing w:line="480" w:lineRule="auto"/>
        <w:jc w:val="center"/>
        <w:rPr>
          <w:rFonts w:ascii="Times New Roman" w:hAnsi="Times New Roman" w:cs="Times New Roman"/>
          <w:sz w:val="24"/>
          <w:szCs w:val="24"/>
        </w:rPr>
      </w:pPr>
    </w:p>
    <w:p w:rsidR="008D7834" w:rsidRPr="00D82522" w:rsidRDefault="000E73B7" w:rsidP="00D82522">
      <w:pPr>
        <w:spacing w:line="480" w:lineRule="auto"/>
        <w:jc w:val="center"/>
        <w:rPr>
          <w:rFonts w:ascii="Times New Roman" w:hAnsi="Times New Roman" w:cs="Times New Roman"/>
          <w:sz w:val="24"/>
          <w:szCs w:val="24"/>
        </w:rPr>
      </w:pPr>
      <w:r w:rsidRPr="00D82522">
        <w:rPr>
          <w:rFonts w:ascii="Times New Roman" w:hAnsi="Times New Roman" w:cs="Times New Roman"/>
          <w:sz w:val="24"/>
          <w:szCs w:val="24"/>
        </w:rPr>
        <w:t>Observation &amp; Reflection of Learner’s Developmental Activities</w:t>
      </w:r>
    </w:p>
    <w:p w:rsidR="000E73B7" w:rsidRPr="00D82522" w:rsidRDefault="000E73B7" w:rsidP="00D82522">
      <w:pPr>
        <w:spacing w:line="480" w:lineRule="auto"/>
        <w:jc w:val="center"/>
        <w:rPr>
          <w:rFonts w:ascii="Times New Roman" w:hAnsi="Times New Roman" w:cs="Times New Roman"/>
          <w:sz w:val="24"/>
          <w:szCs w:val="24"/>
        </w:rPr>
      </w:pPr>
      <w:r w:rsidRPr="00D82522">
        <w:rPr>
          <w:rFonts w:ascii="Times New Roman" w:hAnsi="Times New Roman" w:cs="Times New Roman"/>
          <w:sz w:val="24"/>
          <w:szCs w:val="24"/>
        </w:rPr>
        <w:t>Name of Author:</w:t>
      </w:r>
    </w:p>
    <w:p w:rsidR="000E73B7" w:rsidRPr="00D82522" w:rsidRDefault="000E73B7" w:rsidP="00D82522">
      <w:pPr>
        <w:spacing w:line="480" w:lineRule="auto"/>
        <w:jc w:val="center"/>
        <w:rPr>
          <w:rFonts w:ascii="Times New Roman" w:hAnsi="Times New Roman" w:cs="Times New Roman"/>
          <w:sz w:val="24"/>
          <w:szCs w:val="24"/>
        </w:rPr>
      </w:pPr>
      <w:r w:rsidRPr="00D82522">
        <w:rPr>
          <w:rFonts w:ascii="Times New Roman" w:hAnsi="Times New Roman" w:cs="Times New Roman"/>
          <w:sz w:val="24"/>
          <w:szCs w:val="24"/>
        </w:rPr>
        <w:t>Institution:</w:t>
      </w:r>
    </w:p>
    <w:p w:rsidR="000E73B7" w:rsidRPr="00D82522" w:rsidRDefault="000E73B7" w:rsidP="00D82522">
      <w:pPr>
        <w:spacing w:line="480" w:lineRule="auto"/>
        <w:jc w:val="center"/>
        <w:rPr>
          <w:rFonts w:ascii="Times New Roman" w:hAnsi="Times New Roman" w:cs="Times New Roman"/>
          <w:sz w:val="24"/>
          <w:szCs w:val="24"/>
        </w:rPr>
      </w:pPr>
      <w:r w:rsidRPr="00D82522">
        <w:rPr>
          <w:rFonts w:ascii="Times New Roman" w:hAnsi="Times New Roman" w:cs="Times New Roman"/>
          <w:sz w:val="24"/>
          <w:szCs w:val="24"/>
        </w:rPr>
        <w:t>Date:</w:t>
      </w:r>
    </w:p>
    <w:p w:rsidR="00F72DA0" w:rsidRPr="00D82522" w:rsidRDefault="00F72DA0" w:rsidP="00D82522">
      <w:pPr>
        <w:spacing w:line="480" w:lineRule="auto"/>
        <w:rPr>
          <w:rFonts w:ascii="Times New Roman" w:hAnsi="Times New Roman" w:cs="Times New Roman"/>
          <w:sz w:val="24"/>
          <w:szCs w:val="24"/>
        </w:rPr>
      </w:pPr>
    </w:p>
    <w:p w:rsidR="00F72DA0" w:rsidRPr="00D82522" w:rsidRDefault="00F72DA0" w:rsidP="00D82522">
      <w:pPr>
        <w:spacing w:line="480" w:lineRule="auto"/>
        <w:rPr>
          <w:rFonts w:ascii="Times New Roman" w:hAnsi="Times New Roman" w:cs="Times New Roman"/>
          <w:sz w:val="24"/>
          <w:szCs w:val="24"/>
        </w:rPr>
      </w:pPr>
    </w:p>
    <w:p w:rsidR="00F72DA0" w:rsidRPr="00D82522" w:rsidRDefault="00F72DA0" w:rsidP="00D82522">
      <w:pPr>
        <w:spacing w:line="480" w:lineRule="auto"/>
        <w:rPr>
          <w:rFonts w:ascii="Times New Roman" w:hAnsi="Times New Roman" w:cs="Times New Roman"/>
          <w:sz w:val="24"/>
          <w:szCs w:val="24"/>
        </w:rPr>
      </w:pPr>
    </w:p>
    <w:p w:rsidR="00F72DA0" w:rsidRPr="00D82522" w:rsidRDefault="00F72DA0" w:rsidP="00D82522">
      <w:pPr>
        <w:spacing w:line="480" w:lineRule="auto"/>
        <w:rPr>
          <w:rFonts w:ascii="Times New Roman" w:hAnsi="Times New Roman" w:cs="Times New Roman"/>
          <w:sz w:val="24"/>
          <w:szCs w:val="24"/>
        </w:rPr>
      </w:pPr>
    </w:p>
    <w:p w:rsidR="00F72DA0" w:rsidRPr="00D82522" w:rsidRDefault="00F72DA0" w:rsidP="00D82522">
      <w:pPr>
        <w:spacing w:line="480" w:lineRule="auto"/>
        <w:rPr>
          <w:rFonts w:ascii="Times New Roman" w:hAnsi="Times New Roman" w:cs="Times New Roman"/>
          <w:sz w:val="24"/>
          <w:szCs w:val="24"/>
        </w:rPr>
      </w:pPr>
    </w:p>
    <w:p w:rsidR="00F72DA0" w:rsidRPr="00D82522" w:rsidRDefault="00F72DA0" w:rsidP="00D82522">
      <w:pPr>
        <w:spacing w:line="480" w:lineRule="auto"/>
        <w:rPr>
          <w:rFonts w:ascii="Times New Roman" w:hAnsi="Times New Roman" w:cs="Times New Roman"/>
          <w:sz w:val="24"/>
          <w:szCs w:val="24"/>
        </w:rPr>
      </w:pPr>
    </w:p>
    <w:p w:rsidR="000E73B7" w:rsidRPr="00D82522" w:rsidRDefault="00F72DA0" w:rsidP="00807CC3">
      <w:pPr>
        <w:spacing w:line="240" w:lineRule="auto"/>
        <w:jc w:val="center"/>
        <w:rPr>
          <w:rFonts w:ascii="Times New Roman" w:hAnsi="Times New Roman" w:cs="Times New Roman"/>
          <w:b/>
          <w:sz w:val="24"/>
          <w:szCs w:val="24"/>
        </w:rPr>
      </w:pPr>
      <w:r w:rsidRPr="00D82522">
        <w:rPr>
          <w:rFonts w:ascii="Times New Roman" w:hAnsi="Times New Roman" w:cs="Times New Roman"/>
          <w:b/>
          <w:sz w:val="24"/>
          <w:szCs w:val="24"/>
        </w:rPr>
        <w:lastRenderedPageBreak/>
        <w:t xml:space="preserve">Part I: </w:t>
      </w:r>
      <w:r w:rsidR="000E73B7" w:rsidRPr="00D82522">
        <w:rPr>
          <w:rFonts w:ascii="Times New Roman" w:hAnsi="Times New Roman" w:cs="Times New Roman"/>
          <w:b/>
          <w:sz w:val="24"/>
          <w:szCs w:val="24"/>
        </w:rPr>
        <w:t>P</w:t>
      </w:r>
      <w:r w:rsidR="000E73B7" w:rsidRPr="00D82522">
        <w:rPr>
          <w:rFonts w:ascii="Times New Roman" w:hAnsi="Times New Roman" w:cs="Times New Roman"/>
          <w:b/>
          <w:sz w:val="24"/>
          <w:szCs w:val="24"/>
        </w:rPr>
        <w:t>hy</w:t>
      </w:r>
      <w:r w:rsidR="000E73B7" w:rsidRPr="00D82522">
        <w:rPr>
          <w:rFonts w:ascii="Times New Roman" w:hAnsi="Times New Roman" w:cs="Times New Roman"/>
          <w:b/>
          <w:sz w:val="24"/>
          <w:szCs w:val="24"/>
        </w:rPr>
        <w:t xml:space="preserve">sical </w:t>
      </w:r>
      <w:r w:rsidR="000E73B7" w:rsidRPr="00D82522">
        <w:rPr>
          <w:rFonts w:ascii="Times New Roman" w:hAnsi="Times New Roman" w:cs="Times New Roman"/>
          <w:b/>
          <w:sz w:val="24"/>
          <w:szCs w:val="24"/>
        </w:rPr>
        <w:t>Development</w:t>
      </w:r>
    </w:p>
    <w:p w:rsidR="00D82522" w:rsidRPr="00D82522" w:rsidRDefault="00D82522" w:rsidP="00807CC3">
      <w:pPr>
        <w:spacing w:line="480" w:lineRule="auto"/>
        <w:ind w:firstLine="720"/>
        <w:rPr>
          <w:rFonts w:ascii="Times New Roman" w:hAnsi="Times New Roman" w:cs="Times New Roman"/>
          <w:sz w:val="24"/>
          <w:szCs w:val="24"/>
        </w:rPr>
      </w:pPr>
      <w:r w:rsidRPr="00D82522">
        <w:rPr>
          <w:rFonts w:ascii="Times New Roman" w:hAnsi="Times New Roman" w:cs="Times New Roman"/>
          <w:sz w:val="24"/>
          <w:szCs w:val="24"/>
        </w:rPr>
        <w:t xml:space="preserve">One of the activities that I identified alluding to physical development involved the hands one approach that uses hand gestures in explaining concepts. A considerable number of children would use their fingers and hands to illustrate points that they spoke and physically engage in a demonstration. The children could arrange items, point out other items, and demonstrated good drawing and writing with their hands. In both the classes I observed, there was plenty of motor skills, including raising hands, standing up, and writing. Other physical skills, such as fidgeting, would inform the teacher that a student was bored and restless. Overall, I acknowledged that physical activities made the classroom more lively and encouraged participation instead of a docile and physically inactive class. </w:t>
      </w:r>
    </w:p>
    <w:p w:rsidR="00D82522" w:rsidRDefault="00D82522" w:rsidP="00807CC3">
      <w:pPr>
        <w:spacing w:line="480" w:lineRule="auto"/>
        <w:ind w:firstLine="720"/>
        <w:rPr>
          <w:rFonts w:ascii="Times New Roman" w:hAnsi="Times New Roman" w:cs="Times New Roman"/>
          <w:sz w:val="24"/>
          <w:szCs w:val="24"/>
        </w:rPr>
      </w:pPr>
      <w:r w:rsidRPr="00D82522">
        <w:rPr>
          <w:rFonts w:ascii="Times New Roman" w:hAnsi="Times New Roman" w:cs="Times New Roman"/>
          <w:sz w:val="24"/>
          <w:szCs w:val="24"/>
        </w:rPr>
        <w:t xml:space="preserve">In this segment, Anna Harrow is a renowned theorist who explained how the psychomotor domain help in learning. Apart from the fundamental abilities learned from childhood, such as standing and walking, perceptual activities (such as audiovisual actions) and physical skills that require strength impart primarily on learning (Parsons, and MacCallum, 2017). In a classroom learning. Harrow’s work is relevant such as observing facial expressions, gestures, and physical movements to promote learning. The ideal learning style that complements this domain is experimental learning, where learning resources are sequenced appropriately, and learners are encouraged to learn by doing (Parsons and MacCallum, 2017). Besides, offering positive reinforcements support experimental learning as learners are guided toward their learning goals. An ideal motivation strategy would be encouraging the use of psychomotor skills for learning. For instance, a teacher encourages a learner to stand and speak to the class or demonstrate their concept in drawing/writing/arranging things in the classroom. </w:t>
      </w:r>
    </w:p>
    <w:p w:rsidR="00807CC3" w:rsidRPr="00D82522" w:rsidRDefault="00807CC3" w:rsidP="00807CC3">
      <w:pPr>
        <w:spacing w:line="480" w:lineRule="auto"/>
        <w:ind w:firstLine="720"/>
        <w:rPr>
          <w:rFonts w:ascii="Times New Roman" w:hAnsi="Times New Roman" w:cs="Times New Roman"/>
          <w:sz w:val="24"/>
          <w:szCs w:val="24"/>
        </w:rPr>
      </w:pPr>
    </w:p>
    <w:p w:rsidR="000E73B7" w:rsidRPr="00D82522" w:rsidRDefault="00F72DA0" w:rsidP="00807CC3">
      <w:pPr>
        <w:spacing w:line="240" w:lineRule="auto"/>
        <w:jc w:val="center"/>
        <w:rPr>
          <w:rFonts w:ascii="Times New Roman" w:hAnsi="Times New Roman" w:cs="Times New Roman"/>
          <w:b/>
          <w:sz w:val="24"/>
          <w:szCs w:val="24"/>
        </w:rPr>
      </w:pPr>
      <w:r w:rsidRPr="00D82522">
        <w:rPr>
          <w:rFonts w:ascii="Times New Roman" w:hAnsi="Times New Roman" w:cs="Times New Roman"/>
          <w:b/>
          <w:sz w:val="24"/>
          <w:szCs w:val="24"/>
        </w:rPr>
        <w:lastRenderedPageBreak/>
        <w:t xml:space="preserve">Part II: </w:t>
      </w:r>
      <w:r w:rsidR="000E73B7" w:rsidRPr="00D82522">
        <w:rPr>
          <w:rFonts w:ascii="Times New Roman" w:hAnsi="Times New Roman" w:cs="Times New Roman"/>
          <w:b/>
          <w:sz w:val="24"/>
          <w:szCs w:val="24"/>
        </w:rPr>
        <w:t xml:space="preserve">Cognitive </w:t>
      </w:r>
      <w:r w:rsidR="000E73B7" w:rsidRPr="00D82522">
        <w:rPr>
          <w:rFonts w:ascii="Times New Roman" w:hAnsi="Times New Roman" w:cs="Times New Roman"/>
          <w:b/>
          <w:sz w:val="24"/>
          <w:szCs w:val="24"/>
        </w:rPr>
        <w:t>Development</w:t>
      </w:r>
    </w:p>
    <w:p w:rsidR="00D82522" w:rsidRPr="00D82522" w:rsidRDefault="00D82522" w:rsidP="00807CC3">
      <w:pPr>
        <w:spacing w:line="480" w:lineRule="auto"/>
        <w:ind w:firstLine="720"/>
        <w:rPr>
          <w:rFonts w:ascii="Times New Roman" w:hAnsi="Times New Roman" w:cs="Times New Roman"/>
          <w:sz w:val="24"/>
          <w:szCs w:val="24"/>
        </w:rPr>
      </w:pPr>
      <w:r w:rsidRPr="00D82522">
        <w:rPr>
          <w:rFonts w:ascii="Times New Roman" w:hAnsi="Times New Roman" w:cs="Times New Roman"/>
          <w:sz w:val="24"/>
          <w:szCs w:val="24"/>
        </w:rPr>
        <w:t xml:space="preserve">In my observation, I identified how various cognitive activities impacted the students’ learning. For instance, I observed a teacher asking a student to remember an aspect from an earlier class and try to explain it. The students could take time and try to remember and explain to their best ability. In another example, a teacher would put students to the task of summarizing what they have learned in their own words. It was fascinating to see students comprehend, recall and explain certain aspects, events, stories and examples they had learned. Often times, some learners would be quicker and fluent while others would take some time to come up with appropriate responses. In the second classroom I observed, the teacher laid more emphasizes on the students’ ability to understand, evaluate, and explain concepts learned in the class. It was a more lively class as each of the students attempted to participate in this cognitive exercise. </w:t>
      </w:r>
    </w:p>
    <w:p w:rsidR="00231D19" w:rsidRPr="00D82522" w:rsidRDefault="00D82522" w:rsidP="00807CC3">
      <w:pPr>
        <w:spacing w:line="480" w:lineRule="auto"/>
        <w:ind w:firstLine="720"/>
        <w:rPr>
          <w:rFonts w:ascii="Times New Roman" w:hAnsi="Times New Roman" w:cs="Times New Roman"/>
          <w:sz w:val="24"/>
          <w:szCs w:val="24"/>
        </w:rPr>
      </w:pPr>
      <w:r w:rsidRPr="00D82522">
        <w:rPr>
          <w:rFonts w:ascii="Times New Roman" w:hAnsi="Times New Roman" w:cs="Times New Roman"/>
          <w:sz w:val="24"/>
          <w:szCs w:val="24"/>
        </w:rPr>
        <w:t>Concerning this developmental factor, John Seely Brown is the ideal theorist who investigated how knowledge can be embedded in context, culture, and other social aspects (Gomez and Lee, 2015). The general assumption that learning is about shared knowledge, and thus learners make links from different scenarios to replicate knowledge (Gomez and Lee, 2015).In essence, the cognitive learning style is the best approach that learners could use in the classroom. Applying cognitivism in the classroom entails evaluation and reflection to offer continuous progress to the intake of learning. A perfect example of a motivational strategy to support cognitive learning is the use of IT resources. Today, teachers rely on a vast pool of digital resources such as virtual reality to widen learning scope, encouraging reflection and drawing relevance to real-life situations (Herrington and Parker, 2013: Cavanaugh et al., 2016). This is an ideal example of how digitization supports cognitive learning to attain specific academic objectives.</w:t>
      </w:r>
    </w:p>
    <w:p w:rsidR="000E73B7" w:rsidRPr="00D82522" w:rsidRDefault="00F72DA0" w:rsidP="00807CC3">
      <w:pPr>
        <w:spacing w:line="240" w:lineRule="auto"/>
        <w:jc w:val="center"/>
        <w:rPr>
          <w:rFonts w:ascii="Times New Roman" w:hAnsi="Times New Roman" w:cs="Times New Roman"/>
          <w:b/>
          <w:sz w:val="24"/>
          <w:szCs w:val="24"/>
        </w:rPr>
      </w:pPr>
      <w:r w:rsidRPr="00D82522">
        <w:rPr>
          <w:rFonts w:ascii="Times New Roman" w:hAnsi="Times New Roman" w:cs="Times New Roman"/>
          <w:b/>
          <w:sz w:val="24"/>
          <w:szCs w:val="24"/>
        </w:rPr>
        <w:lastRenderedPageBreak/>
        <w:t xml:space="preserve">Part III: </w:t>
      </w:r>
      <w:r w:rsidR="000E73B7" w:rsidRPr="00D82522">
        <w:rPr>
          <w:rFonts w:ascii="Times New Roman" w:hAnsi="Times New Roman" w:cs="Times New Roman"/>
          <w:b/>
          <w:sz w:val="24"/>
          <w:szCs w:val="24"/>
        </w:rPr>
        <w:t>Affective Development</w:t>
      </w:r>
    </w:p>
    <w:p w:rsidR="00D82522" w:rsidRPr="00D82522" w:rsidRDefault="00D82522" w:rsidP="00807CC3">
      <w:pPr>
        <w:pStyle w:val="NormalWeb"/>
        <w:spacing w:before="0" w:beforeAutospacing="0" w:after="0" w:afterAutospacing="0" w:line="480" w:lineRule="auto"/>
        <w:ind w:firstLine="720"/>
      </w:pPr>
      <w:r w:rsidRPr="00D82522">
        <w:t>In my observation, I noted different ways in which affective learning progressed in the classroom. For instance, in the first class, the teacher created a brief activity on role-playing where three learners were to act out specific roles. The participants were creative, and I could observe the changes in tones, emotions, and attitudes as they played their roles. Another activity involved a child reading out a short passage while others would silently reflect, think, and feel about the characters. Then, several responses were given that clearly demonstrated the role of emotions in comprehension. </w:t>
      </w:r>
    </w:p>
    <w:p w:rsidR="00D82522" w:rsidRPr="00D82522" w:rsidRDefault="00D82522" w:rsidP="00807CC3">
      <w:pPr>
        <w:pStyle w:val="NormalWeb"/>
        <w:spacing w:before="0" w:beforeAutospacing="0" w:after="0" w:afterAutospacing="0" w:line="480" w:lineRule="auto"/>
        <w:ind w:firstLine="720"/>
      </w:pPr>
      <w:r w:rsidRPr="00D82522">
        <w:t>The renowned theorists who researched affective development were David Krathwohl and Benjamin Bloom, who argued that feelings, attitudes, and emotions had a significant role in information acquisition (Nelson &amp; Pender, 2020). In modern classrooms, stimuli such as feel, experience, joy, enjoyment, gloom, and sense support learning in many ways. For instance, a quiet and depressed classroom cannot learn effectively compared to a participatory and energized classroom. The ideal learning style is brain-based, where learners are not just passive acquirers of information but actively seek and participate in learning (</w:t>
      </w:r>
      <w:hyperlink r:id="rId6" w:tgtFrame="_blank" w:history="1">
        <w:r w:rsidRPr="00D82522">
          <w:rPr>
            <w:rStyle w:val="Hyperlink"/>
            <w:color w:val="auto"/>
            <w:u w:val="none"/>
          </w:rPr>
          <w:t>Hoque</w:t>
        </w:r>
      </w:hyperlink>
      <w:r w:rsidRPr="00D82522">
        <w:t>, 2017). As a motivational strategy, teachers need to identify and support positive emotions, self-esteem, happiness, and equal participation to ensure students are well engaged. They should be encouraged to pursue learning, challenge the status quo, and go the extra mile in the learning.</w:t>
      </w:r>
    </w:p>
    <w:p w:rsidR="00CE4639" w:rsidRPr="00D82522" w:rsidRDefault="00CE4639" w:rsidP="00D82522">
      <w:pPr>
        <w:spacing w:line="480" w:lineRule="auto"/>
        <w:rPr>
          <w:rFonts w:ascii="Times New Roman" w:hAnsi="Times New Roman" w:cs="Times New Roman"/>
          <w:sz w:val="24"/>
          <w:szCs w:val="24"/>
        </w:rPr>
      </w:pPr>
    </w:p>
    <w:p w:rsidR="00D82522" w:rsidRDefault="00D82522" w:rsidP="00D82522">
      <w:pPr>
        <w:spacing w:line="480" w:lineRule="auto"/>
        <w:jc w:val="center"/>
        <w:rPr>
          <w:rFonts w:ascii="Times New Roman" w:hAnsi="Times New Roman" w:cs="Times New Roman"/>
          <w:b/>
          <w:sz w:val="24"/>
          <w:szCs w:val="24"/>
        </w:rPr>
      </w:pPr>
    </w:p>
    <w:p w:rsidR="00807CC3" w:rsidRPr="00D82522" w:rsidRDefault="00807CC3" w:rsidP="00D82522">
      <w:pPr>
        <w:spacing w:line="480" w:lineRule="auto"/>
        <w:jc w:val="center"/>
        <w:rPr>
          <w:rFonts w:ascii="Times New Roman" w:hAnsi="Times New Roman" w:cs="Times New Roman"/>
          <w:b/>
          <w:sz w:val="24"/>
          <w:szCs w:val="24"/>
        </w:rPr>
      </w:pPr>
    </w:p>
    <w:p w:rsidR="00D82522" w:rsidRPr="00D82522" w:rsidRDefault="00D82522" w:rsidP="00D82522">
      <w:pPr>
        <w:spacing w:line="480" w:lineRule="auto"/>
        <w:jc w:val="center"/>
        <w:rPr>
          <w:rFonts w:ascii="Times New Roman" w:hAnsi="Times New Roman" w:cs="Times New Roman"/>
          <w:b/>
          <w:sz w:val="24"/>
          <w:szCs w:val="24"/>
        </w:rPr>
      </w:pPr>
    </w:p>
    <w:p w:rsidR="00D82522" w:rsidRPr="00D82522" w:rsidRDefault="00D82522" w:rsidP="00D82522">
      <w:pPr>
        <w:spacing w:line="480" w:lineRule="auto"/>
        <w:jc w:val="center"/>
        <w:rPr>
          <w:rFonts w:ascii="Times New Roman" w:hAnsi="Times New Roman" w:cs="Times New Roman"/>
          <w:b/>
          <w:sz w:val="24"/>
          <w:szCs w:val="24"/>
        </w:rPr>
      </w:pPr>
    </w:p>
    <w:p w:rsidR="00CE4639" w:rsidRPr="00D82522" w:rsidRDefault="00CE4639" w:rsidP="00807CC3">
      <w:pPr>
        <w:spacing w:line="240" w:lineRule="auto"/>
        <w:jc w:val="center"/>
        <w:rPr>
          <w:rFonts w:ascii="Times New Roman" w:hAnsi="Times New Roman" w:cs="Times New Roman"/>
          <w:b/>
          <w:sz w:val="24"/>
          <w:szCs w:val="24"/>
        </w:rPr>
      </w:pPr>
      <w:r w:rsidRPr="00D82522">
        <w:rPr>
          <w:rFonts w:ascii="Times New Roman" w:hAnsi="Times New Roman" w:cs="Times New Roman"/>
          <w:b/>
          <w:sz w:val="24"/>
          <w:szCs w:val="24"/>
        </w:rPr>
        <w:lastRenderedPageBreak/>
        <w:t>References</w:t>
      </w:r>
    </w:p>
    <w:p w:rsidR="00CE4639" w:rsidRPr="00D82522" w:rsidRDefault="00CE4639" w:rsidP="00D82522">
      <w:pPr>
        <w:spacing w:after="0" w:line="480" w:lineRule="auto"/>
        <w:ind w:left="720" w:hanging="720"/>
        <w:rPr>
          <w:rFonts w:ascii="Times New Roman" w:hAnsi="Times New Roman" w:cs="Times New Roman"/>
          <w:sz w:val="24"/>
          <w:szCs w:val="24"/>
        </w:rPr>
      </w:pPr>
      <w:r w:rsidRPr="00D82522">
        <w:rPr>
          <w:rFonts w:ascii="Times New Roman" w:hAnsi="Times New Roman" w:cs="Times New Roman"/>
          <w:sz w:val="24"/>
          <w:szCs w:val="24"/>
        </w:rPr>
        <w:t xml:space="preserve">Cavanaugh, J. M., Giapponi, C. C., &amp; Golden, T. D. (2016). Digital Technology and Student Cognitive Development: The Neuroscience of the University Classroom. </w:t>
      </w:r>
      <w:r w:rsidRPr="00D82522">
        <w:rPr>
          <w:rFonts w:ascii="Times New Roman" w:hAnsi="Times New Roman" w:cs="Times New Roman"/>
          <w:i/>
          <w:sz w:val="24"/>
          <w:szCs w:val="24"/>
        </w:rPr>
        <w:t>Journal of Management Education, 40</w:t>
      </w:r>
      <w:r w:rsidR="00D82522" w:rsidRPr="00D82522">
        <w:rPr>
          <w:rFonts w:ascii="Times New Roman" w:hAnsi="Times New Roman" w:cs="Times New Roman"/>
          <w:i/>
          <w:sz w:val="24"/>
          <w:szCs w:val="24"/>
        </w:rPr>
        <w:t xml:space="preserve"> </w:t>
      </w:r>
      <w:r w:rsidRPr="00D82522">
        <w:rPr>
          <w:rFonts w:ascii="Times New Roman" w:hAnsi="Times New Roman" w:cs="Times New Roman"/>
          <w:sz w:val="24"/>
          <w:szCs w:val="24"/>
        </w:rPr>
        <w:t xml:space="preserve">(4), 374–397. </w:t>
      </w:r>
      <w:hyperlink r:id="rId7" w:history="1">
        <w:r w:rsidR="00807CC3">
          <w:rPr>
            <w:rStyle w:val="Hyperlink"/>
            <w:rFonts w:ascii="Times New Roman" w:hAnsi="Times New Roman" w:cs="Times New Roman"/>
            <w:color w:val="auto"/>
            <w:sz w:val="24"/>
            <w:szCs w:val="24"/>
            <w:u w:val="none"/>
          </w:rPr>
          <w:t xml:space="preserve">Doi: </w:t>
        </w:r>
        <w:r w:rsidR="006E0D7B" w:rsidRPr="00D82522">
          <w:rPr>
            <w:rStyle w:val="Hyperlink"/>
            <w:rFonts w:ascii="Times New Roman" w:hAnsi="Times New Roman" w:cs="Times New Roman"/>
            <w:color w:val="auto"/>
            <w:sz w:val="24"/>
            <w:szCs w:val="24"/>
            <w:u w:val="none"/>
          </w:rPr>
          <w:t>10.1177/1052562915614051</w:t>
        </w:r>
      </w:hyperlink>
    </w:p>
    <w:p w:rsidR="00B77CEE" w:rsidRPr="00D82522" w:rsidRDefault="00B77CEE" w:rsidP="00D82522">
      <w:pPr>
        <w:spacing w:after="0" w:line="480" w:lineRule="auto"/>
        <w:ind w:left="720" w:hanging="720"/>
        <w:rPr>
          <w:rFonts w:ascii="Times New Roman" w:eastAsia="Times New Roman" w:hAnsi="Times New Roman" w:cs="Times New Roman"/>
          <w:sz w:val="24"/>
          <w:szCs w:val="24"/>
        </w:rPr>
      </w:pPr>
      <w:r w:rsidRPr="00D82522">
        <w:rPr>
          <w:rFonts w:ascii="Times New Roman" w:eastAsia="Times New Roman" w:hAnsi="Times New Roman" w:cs="Times New Roman"/>
          <w:sz w:val="24"/>
          <w:szCs w:val="24"/>
        </w:rPr>
        <w:t>Gomez, K., &amp; Lee, U.</w:t>
      </w:r>
      <w:r w:rsidRPr="00B77CEE">
        <w:rPr>
          <w:rFonts w:ascii="Times New Roman" w:eastAsia="Times New Roman" w:hAnsi="Times New Roman" w:cs="Times New Roman"/>
          <w:sz w:val="24"/>
          <w:szCs w:val="24"/>
        </w:rPr>
        <w:t xml:space="preserve"> </w:t>
      </w:r>
      <w:r w:rsidRPr="00D82522">
        <w:rPr>
          <w:rFonts w:ascii="Times New Roman" w:eastAsia="Times New Roman" w:hAnsi="Times New Roman" w:cs="Times New Roman"/>
          <w:sz w:val="24"/>
          <w:szCs w:val="24"/>
        </w:rPr>
        <w:t>(2015)</w:t>
      </w:r>
      <w:r w:rsidRPr="00B77CEE">
        <w:rPr>
          <w:rFonts w:ascii="Times New Roman" w:eastAsia="Times New Roman" w:hAnsi="Times New Roman" w:cs="Times New Roman"/>
          <w:sz w:val="24"/>
          <w:szCs w:val="24"/>
        </w:rPr>
        <w:t xml:space="preserve"> </w:t>
      </w:r>
      <w:r w:rsidRPr="00D82522">
        <w:rPr>
          <w:rFonts w:ascii="Times New Roman" w:eastAsia="Times New Roman" w:hAnsi="Times New Roman" w:cs="Times New Roman"/>
          <w:sz w:val="24"/>
          <w:szCs w:val="24"/>
        </w:rPr>
        <w:t>Situated cognition and learning environments: implications for teachers on- and offline in the new digital media age</w:t>
      </w:r>
      <w:r w:rsidR="00D82522" w:rsidRPr="00D82522">
        <w:rPr>
          <w:rFonts w:ascii="Times New Roman" w:eastAsia="Times New Roman" w:hAnsi="Times New Roman" w:cs="Times New Roman"/>
          <w:sz w:val="24"/>
          <w:szCs w:val="24"/>
        </w:rPr>
        <w:t>.</w:t>
      </w:r>
      <w:r w:rsidRPr="00B77CEE">
        <w:rPr>
          <w:rFonts w:ascii="Times New Roman" w:eastAsia="Times New Roman" w:hAnsi="Times New Roman" w:cs="Times New Roman"/>
          <w:sz w:val="24"/>
          <w:szCs w:val="24"/>
        </w:rPr>
        <w:t xml:space="preserve"> </w:t>
      </w:r>
      <w:r w:rsidRPr="00D82522">
        <w:rPr>
          <w:rFonts w:ascii="Times New Roman" w:eastAsia="Times New Roman" w:hAnsi="Times New Roman" w:cs="Times New Roman"/>
          <w:i/>
          <w:sz w:val="24"/>
          <w:szCs w:val="24"/>
        </w:rPr>
        <w:t>Interactive Learning Environments,</w:t>
      </w:r>
      <w:r w:rsidRPr="00B77CEE">
        <w:rPr>
          <w:rFonts w:ascii="Times New Roman" w:eastAsia="Times New Roman" w:hAnsi="Times New Roman" w:cs="Times New Roman"/>
          <w:i/>
          <w:sz w:val="24"/>
          <w:szCs w:val="24"/>
        </w:rPr>
        <w:t xml:space="preserve"> </w:t>
      </w:r>
      <w:r w:rsidRPr="00D82522">
        <w:rPr>
          <w:rFonts w:ascii="Times New Roman" w:eastAsia="Times New Roman" w:hAnsi="Times New Roman" w:cs="Times New Roman"/>
          <w:i/>
          <w:sz w:val="24"/>
          <w:szCs w:val="24"/>
        </w:rPr>
        <w:t>23</w:t>
      </w:r>
      <w:r w:rsidR="00D82522" w:rsidRPr="00D82522">
        <w:rPr>
          <w:rFonts w:ascii="Times New Roman" w:eastAsia="Times New Roman" w:hAnsi="Times New Roman" w:cs="Times New Roman"/>
          <w:sz w:val="24"/>
          <w:szCs w:val="24"/>
        </w:rPr>
        <w:t xml:space="preserve"> (5)</w:t>
      </w:r>
      <w:r w:rsidRPr="00D82522">
        <w:rPr>
          <w:rFonts w:ascii="Times New Roman" w:eastAsia="Times New Roman" w:hAnsi="Times New Roman" w:cs="Times New Roman"/>
          <w:sz w:val="24"/>
          <w:szCs w:val="24"/>
        </w:rPr>
        <w:t>,</w:t>
      </w:r>
      <w:r w:rsidRPr="00B77CEE">
        <w:rPr>
          <w:rFonts w:ascii="Times New Roman" w:eastAsia="Times New Roman" w:hAnsi="Times New Roman" w:cs="Times New Roman"/>
          <w:sz w:val="24"/>
          <w:szCs w:val="24"/>
        </w:rPr>
        <w:t xml:space="preserve"> </w:t>
      </w:r>
      <w:r w:rsidRPr="00D82522">
        <w:rPr>
          <w:rFonts w:ascii="Times New Roman" w:eastAsia="Times New Roman" w:hAnsi="Times New Roman" w:cs="Times New Roman"/>
          <w:sz w:val="24"/>
          <w:szCs w:val="24"/>
        </w:rPr>
        <w:t>634-652,</w:t>
      </w:r>
      <w:r w:rsidRPr="00B77CEE">
        <w:rPr>
          <w:rFonts w:ascii="Times New Roman" w:eastAsia="Times New Roman" w:hAnsi="Times New Roman" w:cs="Times New Roman"/>
          <w:sz w:val="24"/>
          <w:szCs w:val="24"/>
        </w:rPr>
        <w:t xml:space="preserve"> </w:t>
      </w:r>
      <w:r w:rsidRPr="00D82522">
        <w:rPr>
          <w:rFonts w:ascii="Times New Roman" w:eastAsia="Times New Roman" w:hAnsi="Times New Roman" w:cs="Times New Roman"/>
          <w:sz w:val="24"/>
          <w:szCs w:val="24"/>
        </w:rPr>
        <w:t xml:space="preserve">DOI: </w:t>
      </w:r>
      <w:hyperlink r:id="rId8" w:history="1">
        <w:r w:rsidRPr="00D82522">
          <w:rPr>
            <w:rFonts w:ascii="Times New Roman" w:eastAsia="Times New Roman" w:hAnsi="Times New Roman" w:cs="Times New Roman"/>
            <w:sz w:val="24"/>
            <w:szCs w:val="24"/>
          </w:rPr>
          <w:t>10.1080/10494820.2015.1064447</w:t>
        </w:r>
      </w:hyperlink>
      <w:r w:rsidRPr="00B77CEE">
        <w:rPr>
          <w:rFonts w:ascii="Times New Roman" w:eastAsia="Times New Roman" w:hAnsi="Times New Roman" w:cs="Times New Roman"/>
          <w:sz w:val="24"/>
          <w:szCs w:val="24"/>
        </w:rPr>
        <w:t xml:space="preserve"> </w:t>
      </w:r>
    </w:p>
    <w:p w:rsidR="00FE4ACA" w:rsidRPr="00FE4ACA" w:rsidRDefault="00FE4ACA" w:rsidP="00D82522">
      <w:pPr>
        <w:spacing w:after="0" w:line="480" w:lineRule="auto"/>
        <w:ind w:left="720" w:hanging="720"/>
        <w:rPr>
          <w:rFonts w:ascii="Times New Roman" w:eastAsia="Times New Roman" w:hAnsi="Times New Roman" w:cs="Times New Roman"/>
          <w:sz w:val="24"/>
          <w:szCs w:val="24"/>
        </w:rPr>
      </w:pPr>
      <w:r w:rsidRPr="00FE4ACA">
        <w:rPr>
          <w:rFonts w:ascii="Times New Roman" w:eastAsia="Times New Roman" w:hAnsi="Times New Roman" w:cs="Times New Roman"/>
          <w:sz w:val="24"/>
          <w:szCs w:val="24"/>
        </w:rPr>
        <w:t xml:space="preserve">Herrington, J., &amp; Parker, J. (2013). </w:t>
      </w:r>
      <w:r w:rsidRPr="00FE4ACA">
        <w:rPr>
          <w:rFonts w:ascii="Times New Roman" w:eastAsia="Times New Roman" w:hAnsi="Times New Roman" w:cs="Times New Roman"/>
          <w:iCs/>
          <w:sz w:val="24"/>
          <w:szCs w:val="24"/>
        </w:rPr>
        <w:t>Emerging technologies as cognitive tools for authentic learning.</w:t>
      </w:r>
      <w:r w:rsidRPr="00FE4ACA">
        <w:rPr>
          <w:rFonts w:ascii="Times New Roman" w:eastAsia="Times New Roman" w:hAnsi="Times New Roman" w:cs="Times New Roman"/>
          <w:i/>
          <w:iCs/>
          <w:sz w:val="24"/>
          <w:szCs w:val="24"/>
        </w:rPr>
        <w:t xml:space="preserve"> British Journal of Educational Technology, 44</w:t>
      </w:r>
      <w:r w:rsidRPr="00FE4ACA">
        <w:rPr>
          <w:rFonts w:ascii="Times New Roman" w:eastAsia="Times New Roman" w:hAnsi="Times New Roman" w:cs="Times New Roman"/>
          <w:iCs/>
          <w:sz w:val="24"/>
          <w:szCs w:val="24"/>
        </w:rPr>
        <w:t>(4), 607–615.</w:t>
      </w:r>
      <w:r w:rsidRPr="00FE4ACA">
        <w:rPr>
          <w:rFonts w:ascii="Times New Roman" w:eastAsia="Times New Roman" w:hAnsi="Times New Roman" w:cs="Times New Roman"/>
          <w:sz w:val="24"/>
          <w:szCs w:val="24"/>
        </w:rPr>
        <w:t xml:space="preserve"> </w:t>
      </w:r>
      <w:r w:rsidR="00D82522" w:rsidRPr="00D82522">
        <w:rPr>
          <w:rFonts w:ascii="Times New Roman" w:eastAsia="Times New Roman" w:hAnsi="Times New Roman" w:cs="Times New Roman"/>
          <w:sz w:val="24"/>
          <w:szCs w:val="24"/>
        </w:rPr>
        <w:t>D</w:t>
      </w:r>
      <w:r w:rsidRPr="00FE4ACA">
        <w:rPr>
          <w:rFonts w:ascii="Times New Roman" w:eastAsia="Times New Roman" w:hAnsi="Times New Roman" w:cs="Times New Roman"/>
          <w:sz w:val="24"/>
          <w:szCs w:val="24"/>
        </w:rPr>
        <w:t>oi:10.1111/bjet.12048 </w:t>
      </w:r>
    </w:p>
    <w:p w:rsidR="00B77CEE" w:rsidRPr="00D82522" w:rsidRDefault="00FE4ACA" w:rsidP="00D82522">
      <w:pPr>
        <w:spacing w:after="0" w:line="480" w:lineRule="auto"/>
        <w:ind w:left="720" w:hanging="720"/>
        <w:rPr>
          <w:rFonts w:ascii="Times New Roman" w:hAnsi="Times New Roman" w:cs="Times New Roman"/>
          <w:sz w:val="24"/>
          <w:szCs w:val="24"/>
        </w:rPr>
      </w:pPr>
      <w:r w:rsidRPr="00D82522">
        <w:rPr>
          <w:rFonts w:ascii="Times New Roman" w:eastAsia="Times New Roman" w:hAnsi="Times New Roman" w:cs="Times New Roman"/>
          <w:sz w:val="24"/>
          <w:szCs w:val="24"/>
        </w:rPr>
        <w:t xml:space="preserve">Hoque, M. (2017). Three Domains of Learning: Cognitive, Affective and Psychomotor. </w:t>
      </w:r>
      <w:r w:rsidR="000A57E6" w:rsidRPr="00D82522">
        <w:rPr>
          <w:rStyle w:val="acopre"/>
          <w:rFonts w:ascii="Times New Roman" w:hAnsi="Times New Roman" w:cs="Times New Roman"/>
          <w:i/>
          <w:sz w:val="24"/>
          <w:szCs w:val="24"/>
        </w:rPr>
        <w:t xml:space="preserve">Journal of EFL </w:t>
      </w:r>
      <w:r w:rsidR="000A57E6" w:rsidRPr="00D82522">
        <w:rPr>
          <w:rStyle w:val="Emphasis"/>
          <w:rFonts w:ascii="Times New Roman" w:hAnsi="Times New Roman" w:cs="Times New Roman"/>
          <w:i w:val="0"/>
          <w:sz w:val="24"/>
          <w:szCs w:val="24"/>
        </w:rPr>
        <w:t>Education</w:t>
      </w:r>
      <w:r w:rsidR="000A57E6" w:rsidRPr="00D82522">
        <w:rPr>
          <w:rStyle w:val="acopre"/>
          <w:rFonts w:ascii="Times New Roman" w:hAnsi="Times New Roman" w:cs="Times New Roman"/>
          <w:i/>
          <w:sz w:val="24"/>
          <w:szCs w:val="24"/>
        </w:rPr>
        <w:t xml:space="preserve"> and Research</w:t>
      </w:r>
      <w:r w:rsidR="000A57E6" w:rsidRPr="00D82522">
        <w:rPr>
          <w:rStyle w:val="acopre"/>
          <w:rFonts w:ascii="Times New Roman" w:hAnsi="Times New Roman" w:cs="Times New Roman"/>
          <w:i/>
          <w:sz w:val="24"/>
          <w:szCs w:val="24"/>
        </w:rPr>
        <w:t xml:space="preserve">, </w:t>
      </w:r>
      <w:r w:rsidR="000A57E6" w:rsidRPr="00D82522">
        <w:rPr>
          <w:rFonts w:ascii="Times New Roman" w:eastAsia="Times New Roman" w:hAnsi="Times New Roman" w:cs="Times New Roman"/>
          <w:i/>
          <w:sz w:val="24"/>
          <w:szCs w:val="24"/>
        </w:rPr>
        <w:t>2</w:t>
      </w:r>
      <w:r w:rsidR="000A57E6" w:rsidRPr="00D82522">
        <w:rPr>
          <w:rFonts w:ascii="Times New Roman" w:eastAsia="Times New Roman" w:hAnsi="Times New Roman" w:cs="Times New Roman"/>
          <w:sz w:val="24"/>
          <w:szCs w:val="24"/>
        </w:rPr>
        <w:t xml:space="preserve"> (2)</w:t>
      </w:r>
      <w:r w:rsidRPr="00D82522">
        <w:rPr>
          <w:rFonts w:ascii="Times New Roman" w:eastAsia="Times New Roman" w:hAnsi="Times New Roman" w:cs="Times New Roman"/>
          <w:sz w:val="24"/>
          <w:szCs w:val="24"/>
        </w:rPr>
        <w:t xml:space="preserve"> 45-51.</w:t>
      </w:r>
    </w:p>
    <w:p w:rsidR="006E0D7B" w:rsidRPr="00D82522" w:rsidRDefault="006E0D7B" w:rsidP="00D82522">
      <w:pPr>
        <w:spacing w:after="0" w:line="480" w:lineRule="auto"/>
        <w:ind w:left="720" w:hanging="720"/>
        <w:rPr>
          <w:rFonts w:ascii="Times New Roman" w:hAnsi="Times New Roman" w:cs="Times New Roman"/>
          <w:sz w:val="24"/>
          <w:szCs w:val="24"/>
        </w:rPr>
      </w:pPr>
      <w:r w:rsidRPr="00D82522">
        <w:rPr>
          <w:rFonts w:ascii="Times New Roman" w:hAnsi="Times New Roman" w:cs="Times New Roman"/>
          <w:sz w:val="24"/>
          <w:szCs w:val="24"/>
        </w:rPr>
        <w:t xml:space="preserve">Nelson, J., Pender, D. A., Myers, C. E., &amp; Sheperis, D. (2020). The Effect of Affect: Krathwohl and Bloom’s Affective Domains Underutilized in Counselor Education. </w:t>
      </w:r>
      <w:r w:rsidRPr="00D82522">
        <w:rPr>
          <w:rFonts w:ascii="Times New Roman" w:hAnsi="Times New Roman" w:cs="Times New Roman"/>
          <w:i/>
          <w:sz w:val="24"/>
          <w:szCs w:val="24"/>
        </w:rPr>
        <w:t>The Journal of Counselor Preparation and Supervision, 13</w:t>
      </w:r>
      <w:r w:rsidR="00D82522" w:rsidRPr="00D82522">
        <w:rPr>
          <w:rFonts w:ascii="Times New Roman" w:hAnsi="Times New Roman" w:cs="Times New Roman"/>
          <w:i/>
          <w:sz w:val="24"/>
          <w:szCs w:val="24"/>
        </w:rPr>
        <w:t xml:space="preserve"> </w:t>
      </w:r>
      <w:r w:rsidRPr="00D82522">
        <w:rPr>
          <w:rFonts w:ascii="Times New Roman" w:hAnsi="Times New Roman" w:cs="Times New Roman"/>
          <w:sz w:val="24"/>
          <w:szCs w:val="24"/>
        </w:rPr>
        <w:t>(1)</w:t>
      </w:r>
      <w:r w:rsidRPr="00D82522">
        <w:rPr>
          <w:rFonts w:ascii="Times New Roman" w:hAnsi="Times New Roman" w:cs="Times New Roman"/>
          <w:sz w:val="24"/>
          <w:szCs w:val="24"/>
        </w:rPr>
        <w:t>, 1-20</w:t>
      </w:r>
      <w:r w:rsidRPr="00D82522">
        <w:rPr>
          <w:rFonts w:ascii="Times New Roman" w:hAnsi="Times New Roman" w:cs="Times New Roman"/>
          <w:sz w:val="24"/>
          <w:szCs w:val="24"/>
        </w:rPr>
        <w:t xml:space="preserve">. </w:t>
      </w:r>
      <w:r w:rsidR="00D82522" w:rsidRPr="00D82522">
        <w:rPr>
          <w:rFonts w:ascii="Times New Roman" w:hAnsi="Times New Roman" w:cs="Times New Roman"/>
          <w:sz w:val="24"/>
          <w:szCs w:val="24"/>
        </w:rPr>
        <w:t xml:space="preserve">Doi: </w:t>
      </w:r>
      <w:r w:rsidRPr="00D82522">
        <w:rPr>
          <w:rFonts w:ascii="Times New Roman" w:hAnsi="Times New Roman" w:cs="Times New Roman"/>
          <w:sz w:val="24"/>
          <w:szCs w:val="24"/>
        </w:rPr>
        <w:t>10.7729/131.1279</w:t>
      </w:r>
    </w:p>
    <w:p w:rsidR="006E0D7B" w:rsidRPr="00D82522" w:rsidRDefault="006E0D7B" w:rsidP="00D82522">
      <w:pPr>
        <w:spacing w:after="0" w:line="480" w:lineRule="auto"/>
        <w:ind w:left="720" w:hanging="720"/>
        <w:rPr>
          <w:rFonts w:ascii="Times New Roman" w:hAnsi="Times New Roman" w:cs="Times New Roman"/>
          <w:sz w:val="24"/>
          <w:szCs w:val="24"/>
        </w:rPr>
      </w:pPr>
      <w:r w:rsidRPr="00D82522">
        <w:rPr>
          <w:rFonts w:ascii="Times New Roman" w:hAnsi="Times New Roman" w:cs="Times New Roman"/>
          <w:sz w:val="24"/>
          <w:szCs w:val="24"/>
        </w:rPr>
        <w:t>Parsons, D., &amp; MacCallum, K. (2017). A</w:t>
      </w:r>
      <w:r w:rsidRPr="00D82522">
        <w:rPr>
          <w:rFonts w:ascii="Times New Roman" w:hAnsi="Times New Roman" w:cs="Times New Roman"/>
          <w:i/>
          <w:sz w:val="24"/>
          <w:szCs w:val="24"/>
        </w:rPr>
        <w:t xml:space="preserve">n mLearning toolset for leveraging learning theory. </w:t>
      </w:r>
      <w:r w:rsidRPr="00D82522">
        <w:rPr>
          <w:rFonts w:ascii="Times New Roman" w:hAnsi="Times New Roman" w:cs="Times New Roman"/>
          <w:sz w:val="24"/>
          <w:szCs w:val="24"/>
        </w:rPr>
        <w:t>In R. Power</w:t>
      </w:r>
      <w:r w:rsidR="00D82522" w:rsidRPr="00D82522">
        <w:rPr>
          <w:rFonts w:ascii="Times New Roman" w:hAnsi="Times New Roman" w:cs="Times New Roman"/>
          <w:sz w:val="24"/>
          <w:szCs w:val="24"/>
        </w:rPr>
        <w:t>, M</w:t>
      </w:r>
      <w:r w:rsidRPr="00D82522">
        <w:rPr>
          <w:rFonts w:ascii="Times New Roman" w:hAnsi="Times New Roman" w:cs="Times New Roman"/>
          <w:sz w:val="24"/>
          <w:szCs w:val="24"/>
        </w:rPr>
        <w:t xml:space="preserve">. Ally, D. Cristol, &amp; A. Palalas (Eds.), </w:t>
      </w:r>
      <w:r w:rsidRPr="00D82522">
        <w:rPr>
          <w:rStyle w:val="Emphasis"/>
          <w:rFonts w:ascii="Times New Roman" w:hAnsi="Times New Roman" w:cs="Times New Roman"/>
          <w:sz w:val="24"/>
          <w:szCs w:val="24"/>
        </w:rPr>
        <w:t>IAmLearning: Mobilizing and supporting educator practice.</w:t>
      </w:r>
      <w:r w:rsidRPr="00D82522">
        <w:rPr>
          <w:rFonts w:ascii="Times New Roman" w:hAnsi="Times New Roman" w:cs="Times New Roman"/>
          <w:sz w:val="24"/>
          <w:szCs w:val="24"/>
        </w:rPr>
        <w:t xml:space="preserve"> [e-Book]. International Association for Mobile Learning. </w:t>
      </w:r>
      <w:hyperlink r:id="rId9" w:history="1">
        <w:r w:rsidRPr="00D82522">
          <w:rPr>
            <w:rStyle w:val="Hyperlink"/>
            <w:rFonts w:ascii="Times New Roman" w:hAnsi="Times New Roman" w:cs="Times New Roman"/>
            <w:color w:val="auto"/>
            <w:sz w:val="24"/>
            <w:szCs w:val="24"/>
            <w:u w:val="none"/>
          </w:rPr>
          <w:t>https://iamlearning.pressbooks.com/part/ch-6-an-mlearning-toolset/</w:t>
        </w:r>
      </w:hyperlink>
    </w:p>
    <w:sectPr w:rsidR="006E0D7B" w:rsidRPr="00D82522" w:rsidSect="00807CC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070F" w:rsidRDefault="0052070F" w:rsidP="00807CC3">
      <w:pPr>
        <w:spacing w:after="0" w:line="240" w:lineRule="auto"/>
      </w:pPr>
      <w:r>
        <w:separator/>
      </w:r>
    </w:p>
  </w:endnote>
  <w:endnote w:type="continuationSeparator" w:id="0">
    <w:p w:rsidR="0052070F" w:rsidRDefault="0052070F" w:rsidP="00807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070F" w:rsidRDefault="0052070F" w:rsidP="00807CC3">
      <w:pPr>
        <w:spacing w:after="0" w:line="240" w:lineRule="auto"/>
      </w:pPr>
      <w:r>
        <w:separator/>
      </w:r>
    </w:p>
  </w:footnote>
  <w:footnote w:type="continuationSeparator" w:id="0">
    <w:p w:rsidR="0052070F" w:rsidRDefault="0052070F" w:rsidP="00807C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3293170"/>
      <w:docPartObj>
        <w:docPartGallery w:val="Page Numbers (Top of Page)"/>
        <w:docPartUnique/>
      </w:docPartObj>
    </w:sdtPr>
    <w:sdtEndPr>
      <w:rPr>
        <w:noProof/>
      </w:rPr>
    </w:sdtEndPr>
    <w:sdtContent>
      <w:p w:rsidR="00807CC3" w:rsidRPr="00807CC3" w:rsidRDefault="00807CC3" w:rsidP="00807CC3">
        <w:pPr>
          <w:pStyle w:val="Header"/>
          <w:rPr>
            <w:rFonts w:ascii="Times New Roman" w:hAnsi="Times New Roman" w:cs="Times New Roman"/>
            <w:sz w:val="24"/>
            <w:szCs w:val="24"/>
          </w:rPr>
        </w:pPr>
        <w:r w:rsidRPr="00807CC3">
          <w:rPr>
            <w:rFonts w:ascii="Times New Roman" w:hAnsi="Times New Roman" w:cs="Times New Roman"/>
            <w:sz w:val="24"/>
            <w:szCs w:val="24"/>
          </w:rPr>
          <w:t>STUDEN</w:t>
        </w:r>
        <w:r w:rsidRPr="00807CC3">
          <w:rPr>
            <w:rFonts w:ascii="Times New Roman" w:hAnsi="Times New Roman" w:cs="Times New Roman"/>
            <w:sz w:val="24"/>
            <w:szCs w:val="24"/>
          </w:rPr>
          <w:t>T’S DEVELOPMENTAL ACTIVITIES</w:t>
        </w:r>
        <w:r>
          <w:rPr>
            <w:rFonts w:ascii="Times New Roman" w:hAnsi="Times New Roman" w:cs="Times New Roman"/>
            <w:sz w:val="24"/>
            <w:szCs w:val="24"/>
          </w:rPr>
          <w:tab/>
        </w:r>
        <w:r w:rsidRPr="00807CC3">
          <w:rPr>
            <w:rFonts w:ascii="Times New Roman" w:hAnsi="Times New Roman" w:cs="Times New Roman"/>
            <w:sz w:val="24"/>
            <w:szCs w:val="24"/>
          </w:rPr>
          <w:fldChar w:fldCharType="begin"/>
        </w:r>
        <w:r w:rsidRPr="00807CC3">
          <w:rPr>
            <w:rFonts w:ascii="Times New Roman" w:hAnsi="Times New Roman" w:cs="Times New Roman"/>
            <w:sz w:val="24"/>
            <w:szCs w:val="24"/>
          </w:rPr>
          <w:instrText xml:space="preserve"> PAGE   \* MERGEFORMAT </w:instrText>
        </w:r>
        <w:r w:rsidRPr="00807CC3">
          <w:rPr>
            <w:rFonts w:ascii="Times New Roman" w:hAnsi="Times New Roman" w:cs="Times New Roman"/>
            <w:sz w:val="24"/>
            <w:szCs w:val="24"/>
          </w:rPr>
          <w:fldChar w:fldCharType="separate"/>
        </w:r>
        <w:r>
          <w:rPr>
            <w:rFonts w:ascii="Times New Roman" w:hAnsi="Times New Roman" w:cs="Times New Roman"/>
            <w:noProof/>
            <w:sz w:val="24"/>
            <w:szCs w:val="24"/>
          </w:rPr>
          <w:t>2</w:t>
        </w:r>
        <w:r w:rsidRPr="00807CC3">
          <w:rPr>
            <w:rFonts w:ascii="Times New Roman" w:hAnsi="Times New Roman" w:cs="Times New Roman"/>
            <w:noProof/>
            <w:sz w:val="24"/>
            <w:szCs w:val="24"/>
          </w:rPr>
          <w:fldChar w:fldCharType="end"/>
        </w:r>
      </w:p>
    </w:sdtContent>
  </w:sdt>
  <w:p w:rsidR="00807CC3" w:rsidRDefault="00807C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CC3" w:rsidRDefault="00807CC3" w:rsidP="00807CC3">
    <w:pPr>
      <w:spacing w:line="480" w:lineRule="auto"/>
    </w:pPr>
    <w:r>
      <w:rPr>
        <w:rFonts w:ascii="Times New Roman" w:hAnsi="Times New Roman" w:cs="Times New Roman"/>
        <w:sz w:val="24"/>
        <w:szCs w:val="24"/>
      </w:rPr>
      <w:t xml:space="preserve">Running Head: STUDENT’S </w:t>
    </w:r>
    <w:r w:rsidRPr="00D82522">
      <w:rPr>
        <w:rFonts w:ascii="Times New Roman" w:hAnsi="Times New Roman" w:cs="Times New Roman"/>
        <w:sz w:val="24"/>
        <w:szCs w:val="24"/>
      </w:rPr>
      <w:t>DEVELOPMENTAL ACTIVITIES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3B7"/>
    <w:rsid w:val="000A57E6"/>
    <w:rsid w:val="000E73B7"/>
    <w:rsid w:val="00231D19"/>
    <w:rsid w:val="0028492D"/>
    <w:rsid w:val="00293ECF"/>
    <w:rsid w:val="002B69D7"/>
    <w:rsid w:val="0052070F"/>
    <w:rsid w:val="006E0D7B"/>
    <w:rsid w:val="00807CC3"/>
    <w:rsid w:val="0088546D"/>
    <w:rsid w:val="008D7834"/>
    <w:rsid w:val="00B77CEE"/>
    <w:rsid w:val="00CE4639"/>
    <w:rsid w:val="00D82522"/>
    <w:rsid w:val="00F72DA0"/>
    <w:rsid w:val="00FE4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3FF4FC-3093-400F-BD98-9C035C426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DA0"/>
    <w:pPr>
      <w:ind w:left="720"/>
      <w:contextualSpacing/>
    </w:pPr>
  </w:style>
  <w:style w:type="character" w:styleId="Hyperlink">
    <w:name w:val="Hyperlink"/>
    <w:basedOn w:val="DefaultParagraphFont"/>
    <w:uiPriority w:val="99"/>
    <w:unhideWhenUsed/>
    <w:rsid w:val="006E0D7B"/>
    <w:rPr>
      <w:color w:val="0000FF"/>
      <w:u w:val="single"/>
    </w:rPr>
  </w:style>
  <w:style w:type="character" w:styleId="Emphasis">
    <w:name w:val="Emphasis"/>
    <w:basedOn w:val="DefaultParagraphFont"/>
    <w:uiPriority w:val="20"/>
    <w:qFormat/>
    <w:rsid w:val="006E0D7B"/>
    <w:rPr>
      <w:i/>
      <w:iCs/>
    </w:rPr>
  </w:style>
  <w:style w:type="paragraph" w:customStyle="1" w:styleId="Default">
    <w:name w:val="Default"/>
    <w:rsid w:val="006E0D7B"/>
    <w:pPr>
      <w:autoSpaceDE w:val="0"/>
      <w:autoSpaceDN w:val="0"/>
      <w:adjustRightInd w:val="0"/>
      <w:spacing w:after="0" w:line="240" w:lineRule="auto"/>
    </w:pPr>
    <w:rPr>
      <w:rFonts w:ascii="Roboto" w:hAnsi="Roboto" w:cs="Roboto"/>
      <w:color w:val="000000"/>
      <w:sz w:val="24"/>
      <w:szCs w:val="24"/>
    </w:rPr>
  </w:style>
  <w:style w:type="character" w:customStyle="1" w:styleId="authors">
    <w:name w:val="authors"/>
    <w:basedOn w:val="DefaultParagraphFont"/>
    <w:rsid w:val="00B77CEE"/>
  </w:style>
  <w:style w:type="character" w:customStyle="1" w:styleId="date">
    <w:name w:val="date"/>
    <w:basedOn w:val="DefaultParagraphFont"/>
    <w:rsid w:val="00B77CEE"/>
  </w:style>
  <w:style w:type="character" w:customStyle="1" w:styleId="arttitle">
    <w:name w:val="art_title"/>
    <w:basedOn w:val="DefaultParagraphFont"/>
    <w:rsid w:val="00B77CEE"/>
  </w:style>
  <w:style w:type="character" w:customStyle="1" w:styleId="serialtitle">
    <w:name w:val="serial_title"/>
    <w:basedOn w:val="DefaultParagraphFont"/>
    <w:rsid w:val="00B77CEE"/>
  </w:style>
  <w:style w:type="character" w:customStyle="1" w:styleId="volumeissue">
    <w:name w:val="volume_issue"/>
    <w:basedOn w:val="DefaultParagraphFont"/>
    <w:rsid w:val="00B77CEE"/>
  </w:style>
  <w:style w:type="character" w:customStyle="1" w:styleId="pagerange">
    <w:name w:val="page_range"/>
    <w:basedOn w:val="DefaultParagraphFont"/>
    <w:rsid w:val="00B77CEE"/>
  </w:style>
  <w:style w:type="character" w:customStyle="1" w:styleId="doilink">
    <w:name w:val="doi_link"/>
    <w:basedOn w:val="DefaultParagraphFont"/>
    <w:rsid w:val="00B77CEE"/>
  </w:style>
  <w:style w:type="character" w:customStyle="1" w:styleId="acopre">
    <w:name w:val="acopre"/>
    <w:basedOn w:val="DefaultParagraphFont"/>
    <w:rsid w:val="000A57E6"/>
  </w:style>
  <w:style w:type="paragraph" w:styleId="NormalWeb">
    <w:name w:val="Normal (Web)"/>
    <w:basedOn w:val="Normal"/>
    <w:uiPriority w:val="99"/>
    <w:semiHidden/>
    <w:unhideWhenUsed/>
    <w:rsid w:val="00D8252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07C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CC3"/>
  </w:style>
  <w:style w:type="paragraph" w:styleId="Footer">
    <w:name w:val="footer"/>
    <w:basedOn w:val="Normal"/>
    <w:link w:val="FooterChar"/>
    <w:uiPriority w:val="99"/>
    <w:unhideWhenUsed/>
    <w:rsid w:val="00807C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C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557271">
      <w:bodyDiv w:val="1"/>
      <w:marLeft w:val="0"/>
      <w:marRight w:val="0"/>
      <w:marTop w:val="0"/>
      <w:marBottom w:val="0"/>
      <w:divBdr>
        <w:top w:val="none" w:sz="0" w:space="0" w:color="auto"/>
        <w:left w:val="none" w:sz="0" w:space="0" w:color="auto"/>
        <w:bottom w:val="none" w:sz="0" w:space="0" w:color="auto"/>
        <w:right w:val="none" w:sz="0" w:space="0" w:color="auto"/>
      </w:divBdr>
      <w:divsChild>
        <w:div w:id="994602329">
          <w:marLeft w:val="0"/>
          <w:marRight w:val="0"/>
          <w:marTop w:val="0"/>
          <w:marBottom w:val="0"/>
          <w:divBdr>
            <w:top w:val="none" w:sz="0" w:space="0" w:color="auto"/>
            <w:left w:val="none" w:sz="0" w:space="0" w:color="auto"/>
            <w:bottom w:val="none" w:sz="0" w:space="0" w:color="auto"/>
            <w:right w:val="none" w:sz="0" w:space="0" w:color="auto"/>
          </w:divBdr>
        </w:div>
      </w:divsChild>
    </w:div>
    <w:div w:id="1147748683">
      <w:bodyDiv w:val="1"/>
      <w:marLeft w:val="0"/>
      <w:marRight w:val="0"/>
      <w:marTop w:val="0"/>
      <w:marBottom w:val="0"/>
      <w:divBdr>
        <w:top w:val="none" w:sz="0" w:space="0" w:color="auto"/>
        <w:left w:val="none" w:sz="0" w:space="0" w:color="auto"/>
        <w:bottom w:val="none" w:sz="0" w:space="0" w:color="auto"/>
        <w:right w:val="none" w:sz="0" w:space="0" w:color="auto"/>
      </w:divBdr>
      <w:divsChild>
        <w:div w:id="714089441">
          <w:marLeft w:val="0"/>
          <w:marRight w:val="0"/>
          <w:marTop w:val="0"/>
          <w:marBottom w:val="0"/>
          <w:divBdr>
            <w:top w:val="none" w:sz="0" w:space="0" w:color="auto"/>
            <w:left w:val="none" w:sz="0" w:space="0" w:color="auto"/>
            <w:bottom w:val="none" w:sz="0" w:space="0" w:color="auto"/>
            <w:right w:val="none" w:sz="0" w:space="0" w:color="auto"/>
          </w:divBdr>
        </w:div>
        <w:div w:id="178928559">
          <w:marLeft w:val="0"/>
          <w:marRight w:val="0"/>
          <w:marTop w:val="0"/>
          <w:marBottom w:val="0"/>
          <w:divBdr>
            <w:top w:val="none" w:sz="0" w:space="0" w:color="auto"/>
            <w:left w:val="none" w:sz="0" w:space="0" w:color="auto"/>
            <w:bottom w:val="none" w:sz="0" w:space="0" w:color="auto"/>
            <w:right w:val="none" w:sz="0" w:space="0" w:color="auto"/>
          </w:divBdr>
        </w:div>
      </w:divsChild>
    </w:div>
    <w:div w:id="1439565266">
      <w:bodyDiv w:val="1"/>
      <w:marLeft w:val="0"/>
      <w:marRight w:val="0"/>
      <w:marTop w:val="0"/>
      <w:marBottom w:val="0"/>
      <w:divBdr>
        <w:top w:val="none" w:sz="0" w:space="0" w:color="auto"/>
        <w:left w:val="none" w:sz="0" w:space="0" w:color="auto"/>
        <w:bottom w:val="none" w:sz="0" w:space="0" w:color="auto"/>
        <w:right w:val="none" w:sz="0" w:space="0" w:color="auto"/>
      </w:divBdr>
    </w:div>
    <w:div w:id="1623462753">
      <w:bodyDiv w:val="1"/>
      <w:marLeft w:val="0"/>
      <w:marRight w:val="0"/>
      <w:marTop w:val="0"/>
      <w:marBottom w:val="0"/>
      <w:divBdr>
        <w:top w:val="none" w:sz="0" w:space="0" w:color="auto"/>
        <w:left w:val="none" w:sz="0" w:space="0" w:color="auto"/>
        <w:bottom w:val="none" w:sz="0" w:space="0" w:color="auto"/>
        <w:right w:val="none" w:sz="0" w:space="0" w:color="auto"/>
      </w:divBdr>
      <w:divsChild>
        <w:div w:id="1209998655">
          <w:marLeft w:val="0"/>
          <w:marRight w:val="0"/>
          <w:marTop w:val="0"/>
          <w:marBottom w:val="0"/>
          <w:divBdr>
            <w:top w:val="none" w:sz="0" w:space="0" w:color="auto"/>
            <w:left w:val="none" w:sz="0" w:space="0" w:color="auto"/>
            <w:bottom w:val="none" w:sz="0" w:space="0" w:color="auto"/>
            <w:right w:val="none" w:sz="0" w:space="0" w:color="auto"/>
          </w:divBdr>
          <w:divsChild>
            <w:div w:id="798498229">
              <w:marLeft w:val="0"/>
              <w:marRight w:val="0"/>
              <w:marTop w:val="0"/>
              <w:marBottom w:val="0"/>
              <w:divBdr>
                <w:top w:val="none" w:sz="0" w:space="0" w:color="auto"/>
                <w:left w:val="none" w:sz="0" w:space="0" w:color="auto"/>
                <w:bottom w:val="none" w:sz="0" w:space="0" w:color="auto"/>
                <w:right w:val="none" w:sz="0" w:space="0" w:color="auto"/>
              </w:divBdr>
              <w:divsChild>
                <w:div w:id="338428416">
                  <w:marLeft w:val="0"/>
                  <w:marRight w:val="0"/>
                  <w:marTop w:val="0"/>
                  <w:marBottom w:val="0"/>
                  <w:divBdr>
                    <w:top w:val="none" w:sz="0" w:space="0" w:color="auto"/>
                    <w:left w:val="none" w:sz="0" w:space="0" w:color="auto"/>
                    <w:bottom w:val="none" w:sz="0" w:space="0" w:color="auto"/>
                    <w:right w:val="none" w:sz="0" w:space="0" w:color="auto"/>
                  </w:divBdr>
                  <w:divsChild>
                    <w:div w:id="932518494">
                      <w:marLeft w:val="0"/>
                      <w:marRight w:val="0"/>
                      <w:marTop w:val="0"/>
                      <w:marBottom w:val="0"/>
                      <w:divBdr>
                        <w:top w:val="none" w:sz="0" w:space="0" w:color="auto"/>
                        <w:left w:val="none" w:sz="0" w:space="0" w:color="auto"/>
                        <w:bottom w:val="none" w:sz="0" w:space="0" w:color="auto"/>
                        <w:right w:val="none" w:sz="0" w:space="0" w:color="auto"/>
                      </w:divBdr>
                      <w:divsChild>
                        <w:div w:id="184830689">
                          <w:marLeft w:val="0"/>
                          <w:marRight w:val="0"/>
                          <w:marTop w:val="0"/>
                          <w:marBottom w:val="0"/>
                          <w:divBdr>
                            <w:top w:val="none" w:sz="0" w:space="0" w:color="auto"/>
                            <w:left w:val="none" w:sz="0" w:space="0" w:color="auto"/>
                            <w:bottom w:val="none" w:sz="0" w:space="0" w:color="auto"/>
                            <w:right w:val="none" w:sz="0" w:space="0" w:color="auto"/>
                          </w:divBdr>
                          <w:divsChild>
                            <w:div w:id="1797674447">
                              <w:marLeft w:val="0"/>
                              <w:marRight w:val="0"/>
                              <w:marTop w:val="0"/>
                              <w:marBottom w:val="0"/>
                              <w:divBdr>
                                <w:top w:val="none" w:sz="0" w:space="0" w:color="auto"/>
                                <w:left w:val="none" w:sz="0" w:space="0" w:color="auto"/>
                                <w:bottom w:val="none" w:sz="0" w:space="0" w:color="auto"/>
                                <w:right w:val="none" w:sz="0" w:space="0" w:color="auto"/>
                              </w:divBdr>
                              <w:divsChild>
                                <w:div w:id="1720782738">
                                  <w:marLeft w:val="0"/>
                                  <w:marRight w:val="0"/>
                                  <w:marTop w:val="0"/>
                                  <w:marBottom w:val="0"/>
                                  <w:divBdr>
                                    <w:top w:val="none" w:sz="0" w:space="0" w:color="auto"/>
                                    <w:left w:val="none" w:sz="0" w:space="0" w:color="auto"/>
                                    <w:bottom w:val="none" w:sz="0" w:space="0" w:color="auto"/>
                                    <w:right w:val="none" w:sz="0" w:space="0" w:color="auto"/>
                                  </w:divBdr>
                                  <w:divsChild>
                                    <w:div w:id="1248462147">
                                      <w:marLeft w:val="0"/>
                                      <w:marRight w:val="0"/>
                                      <w:marTop w:val="0"/>
                                      <w:marBottom w:val="0"/>
                                      <w:divBdr>
                                        <w:top w:val="none" w:sz="0" w:space="0" w:color="auto"/>
                                        <w:left w:val="none" w:sz="0" w:space="0" w:color="auto"/>
                                        <w:bottom w:val="none" w:sz="0" w:space="0" w:color="auto"/>
                                        <w:right w:val="none" w:sz="0" w:space="0" w:color="auto"/>
                                      </w:divBdr>
                                      <w:divsChild>
                                        <w:div w:id="80034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9532360">
          <w:marLeft w:val="0"/>
          <w:marRight w:val="0"/>
          <w:marTop w:val="0"/>
          <w:marBottom w:val="0"/>
          <w:divBdr>
            <w:top w:val="none" w:sz="0" w:space="0" w:color="auto"/>
            <w:left w:val="none" w:sz="0" w:space="0" w:color="auto"/>
            <w:bottom w:val="none" w:sz="0" w:space="0" w:color="auto"/>
            <w:right w:val="none" w:sz="0" w:space="0" w:color="auto"/>
          </w:divBdr>
          <w:divsChild>
            <w:div w:id="681706736">
              <w:marLeft w:val="0"/>
              <w:marRight w:val="0"/>
              <w:marTop w:val="0"/>
              <w:marBottom w:val="0"/>
              <w:divBdr>
                <w:top w:val="none" w:sz="0" w:space="0" w:color="auto"/>
                <w:left w:val="none" w:sz="0" w:space="0" w:color="auto"/>
                <w:bottom w:val="none" w:sz="0" w:space="0" w:color="auto"/>
                <w:right w:val="none" w:sz="0" w:space="0" w:color="auto"/>
              </w:divBdr>
              <w:divsChild>
                <w:div w:id="1664355466">
                  <w:marLeft w:val="0"/>
                  <w:marRight w:val="0"/>
                  <w:marTop w:val="0"/>
                  <w:marBottom w:val="0"/>
                  <w:divBdr>
                    <w:top w:val="none" w:sz="0" w:space="0" w:color="auto"/>
                    <w:left w:val="none" w:sz="0" w:space="0" w:color="auto"/>
                    <w:bottom w:val="none" w:sz="0" w:space="0" w:color="auto"/>
                    <w:right w:val="none" w:sz="0" w:space="0" w:color="auto"/>
                  </w:divBdr>
                  <w:divsChild>
                    <w:div w:id="348066132">
                      <w:marLeft w:val="0"/>
                      <w:marRight w:val="0"/>
                      <w:marTop w:val="0"/>
                      <w:marBottom w:val="0"/>
                      <w:divBdr>
                        <w:top w:val="none" w:sz="0" w:space="0" w:color="auto"/>
                        <w:left w:val="none" w:sz="0" w:space="0" w:color="auto"/>
                        <w:bottom w:val="none" w:sz="0" w:space="0" w:color="auto"/>
                        <w:right w:val="none" w:sz="0" w:space="0" w:color="auto"/>
                      </w:divBdr>
                      <w:divsChild>
                        <w:div w:id="43590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0494820.2015.1064447"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177/105256291561405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rofile/Md_Hoque78"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iamlearning.pressbooks.com/part/ch-6-an-mlearning-tools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Pages>
  <Words>1083</Words>
  <Characters>6177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2020-12-04T08:15:00Z</dcterms:created>
  <dcterms:modified xsi:type="dcterms:W3CDTF">2020-12-04T10:37:00Z</dcterms:modified>
</cp:coreProperties>
</file>